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F00FD2">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w:t>
      </w:r>
      <w:r>
        <w:rPr>
          <w:rFonts w:hint="eastAsia" w:ascii="Times New Roman" w:hAnsi="Times New Roman" w:eastAsia="方正小标宋简体" w:cs="方正仿宋简体"/>
          <w:color w:val="000000"/>
          <w:sz w:val="32"/>
          <w:szCs w:val="32"/>
          <w:lang w:val="en-US" w:eastAsia="zh-CN"/>
        </w:rPr>
        <w:t>安全及报警系统（防盗安全门）</w:t>
      </w:r>
      <w:r>
        <w:rPr>
          <w:rFonts w:hint="eastAsia" w:ascii="Times New Roman" w:hAnsi="Times New Roman" w:eastAsia="方正小标宋简体" w:cs="方正仿宋简体"/>
          <w:color w:val="000000"/>
          <w:sz w:val="32"/>
          <w:szCs w:val="32"/>
        </w:rPr>
        <w:t>产品质量</w:t>
      </w:r>
    </w:p>
    <w:p w14:paraId="019EB8EF">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监督抽查实施细则</w:t>
      </w:r>
    </w:p>
    <w:p w14:paraId="1398111A">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240CA52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14:paraId="27EC781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1867D8A8">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687C603B">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default" w:ascii="Times New Roman" w:hAnsi="Times New Roman" w:eastAsia="宋体" w:cs="Times New Roman"/>
          <w:sz w:val="22"/>
          <w:szCs w:val="28"/>
        </w:rPr>
      </w:pPr>
      <w:r>
        <w:rPr>
          <w:rFonts w:ascii="Times New Roman" w:hAnsi="Times New Roman" w:cs="Times New Roman"/>
          <w:color w:val="000000"/>
          <w:szCs w:val="21"/>
        </w:rPr>
        <w:t>每批次产品抽取样品4</w:t>
      </w:r>
      <w:r>
        <w:rPr>
          <w:rFonts w:hint="default" w:ascii="Times New Roman" w:hAnsi="Times New Roman" w:cs="Times New Roman"/>
          <w:color w:val="000000"/>
          <w:szCs w:val="21"/>
        </w:rPr>
        <w:t>樘</w:t>
      </w:r>
      <w:r>
        <w:rPr>
          <w:rFonts w:ascii="Times New Roman" w:hAnsi="Times New Roman" w:cs="Times New Roman"/>
          <w:color w:val="000000"/>
          <w:szCs w:val="21"/>
        </w:rPr>
        <w:t>，其中2</w:t>
      </w:r>
      <w:r>
        <w:rPr>
          <w:rFonts w:hint="default" w:ascii="Times New Roman" w:hAnsi="Times New Roman" w:cs="Times New Roman"/>
          <w:color w:val="000000"/>
          <w:szCs w:val="21"/>
        </w:rPr>
        <w:t>樘</w:t>
      </w:r>
      <w:r>
        <w:rPr>
          <w:rFonts w:ascii="Times New Roman" w:hAnsi="Times New Roman" w:cs="Times New Roman"/>
          <w:color w:val="000000"/>
          <w:szCs w:val="21"/>
        </w:rPr>
        <w:t>作为检验样品，2</w:t>
      </w:r>
      <w:r>
        <w:rPr>
          <w:rFonts w:hint="default" w:ascii="Times New Roman" w:hAnsi="Times New Roman" w:cs="Times New Roman"/>
          <w:color w:val="000000"/>
          <w:szCs w:val="21"/>
        </w:rPr>
        <w:t>樘</w:t>
      </w:r>
      <w:r>
        <w:rPr>
          <w:rFonts w:ascii="Times New Roman" w:hAnsi="Times New Roman" w:cs="Times New Roman"/>
          <w:color w:val="000000"/>
          <w:szCs w:val="21"/>
        </w:rPr>
        <w:t>作为备用样品</w:t>
      </w:r>
      <w:r>
        <w:rPr>
          <w:rFonts w:hint="default" w:ascii="Times New Roman" w:hAnsi="Times New Roman" w:eastAsia="宋体" w:cs="Times New Roman"/>
          <w:sz w:val="22"/>
          <w:szCs w:val="28"/>
        </w:rPr>
        <w:t>。</w:t>
      </w:r>
    </w:p>
    <w:p w14:paraId="7361085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rPr>
      </w:pPr>
    </w:p>
    <w:p w14:paraId="03B9F0B4">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2 检验依据</w:t>
      </w:r>
    </w:p>
    <w:tbl>
      <w:tblPr>
        <w:tblStyle w:val="5"/>
        <w:tblW w:w="4997"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3010"/>
        <w:gridCol w:w="2556"/>
        <w:gridCol w:w="2574"/>
      </w:tblGrid>
      <w:tr w14:paraId="694B1D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5" w:hRule="atLeast"/>
          <w:tblHeader/>
          <w:jc w:val="center"/>
        </w:trPr>
        <w:tc>
          <w:tcPr>
            <w:tcW w:w="506" w:type="pct"/>
            <w:noWrap w:val="0"/>
            <w:vAlign w:val="center"/>
          </w:tcPr>
          <w:p w14:paraId="6D4B2B57">
            <w:pPr>
              <w:adjustRightInd w:val="0"/>
              <w:snapToGrid w:val="0"/>
              <w:jc w:val="center"/>
              <w:rPr>
                <w:rFonts w:ascii="黑体" w:hAnsi="黑体" w:eastAsia="黑体"/>
                <w:bCs/>
                <w:color w:val="000000"/>
                <w:szCs w:val="21"/>
              </w:rPr>
            </w:pPr>
            <w:r>
              <w:rPr>
                <w:rFonts w:ascii="黑体" w:hAnsi="黑体" w:eastAsia="黑体"/>
                <w:bCs/>
                <w:color w:val="000000"/>
                <w:szCs w:val="21"/>
              </w:rPr>
              <w:t>序号</w:t>
            </w:r>
          </w:p>
        </w:tc>
        <w:tc>
          <w:tcPr>
            <w:tcW w:w="1662" w:type="pct"/>
            <w:noWrap w:val="0"/>
            <w:vAlign w:val="center"/>
          </w:tcPr>
          <w:p w14:paraId="37AD12B5">
            <w:pPr>
              <w:adjustRightInd w:val="0"/>
              <w:snapToGrid w:val="0"/>
              <w:jc w:val="center"/>
              <w:rPr>
                <w:rFonts w:ascii="黑体" w:hAnsi="黑体" w:eastAsia="黑体"/>
                <w:bCs/>
                <w:color w:val="000000"/>
                <w:szCs w:val="21"/>
              </w:rPr>
            </w:pPr>
            <w:r>
              <w:rPr>
                <w:rFonts w:hint="eastAsia" w:ascii="黑体" w:hAnsi="黑体" w:eastAsia="黑体"/>
                <w:bCs/>
                <w:color w:val="000000"/>
                <w:szCs w:val="21"/>
              </w:rPr>
              <w:t>检验项目</w:t>
            </w:r>
          </w:p>
        </w:tc>
        <w:tc>
          <w:tcPr>
            <w:tcW w:w="1411" w:type="pct"/>
            <w:noWrap w:val="0"/>
            <w:vAlign w:val="center"/>
          </w:tcPr>
          <w:p w14:paraId="1CC13ACD">
            <w:pPr>
              <w:adjustRightInd w:val="0"/>
              <w:snapToGrid w:val="0"/>
              <w:jc w:val="center"/>
              <w:rPr>
                <w:rFonts w:hint="default" w:ascii="黑体" w:hAnsi="黑体" w:eastAsia="黑体"/>
                <w:bCs/>
                <w:color w:val="000000"/>
                <w:szCs w:val="21"/>
                <w:lang w:val="en-US" w:eastAsia="zh-CN"/>
              </w:rPr>
            </w:pPr>
            <w:r>
              <w:rPr>
                <w:rFonts w:hint="eastAsia" w:ascii="黑体" w:hAnsi="黑体" w:eastAsia="黑体"/>
                <w:bCs/>
                <w:color w:val="000000"/>
                <w:szCs w:val="21"/>
                <w:lang w:val="en-US" w:eastAsia="zh-CN"/>
              </w:rPr>
              <w:t>检验依据</w:t>
            </w:r>
          </w:p>
        </w:tc>
        <w:tc>
          <w:tcPr>
            <w:tcW w:w="1419" w:type="pct"/>
            <w:noWrap w:val="0"/>
            <w:vAlign w:val="center"/>
          </w:tcPr>
          <w:p w14:paraId="5267449E">
            <w:pPr>
              <w:adjustRightInd w:val="0"/>
              <w:snapToGrid w:val="0"/>
              <w:jc w:val="center"/>
              <w:rPr>
                <w:rFonts w:hint="default" w:ascii="黑体" w:hAnsi="黑体" w:eastAsia="黑体"/>
                <w:bCs/>
                <w:color w:val="000000"/>
                <w:szCs w:val="21"/>
                <w:lang w:val="en-US" w:eastAsia="zh-CN"/>
              </w:rPr>
            </w:pPr>
            <w:r>
              <w:rPr>
                <w:rFonts w:hint="eastAsia" w:ascii="黑体" w:hAnsi="黑体" w:eastAsia="黑体"/>
                <w:bCs/>
                <w:color w:val="000000"/>
                <w:szCs w:val="21"/>
                <w:lang w:val="en-US" w:eastAsia="zh-CN"/>
              </w:rPr>
              <w:t>检验方法</w:t>
            </w:r>
          </w:p>
        </w:tc>
      </w:tr>
      <w:tr w14:paraId="6F0CD8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5" w:hRule="atLeast"/>
          <w:tblHeader/>
          <w:jc w:val="center"/>
        </w:trPr>
        <w:tc>
          <w:tcPr>
            <w:tcW w:w="506" w:type="pct"/>
            <w:tcBorders>
              <w:bottom w:val="single" w:color="auto" w:sz="2" w:space="0"/>
            </w:tcBorders>
            <w:noWrap w:val="0"/>
            <w:vAlign w:val="center"/>
          </w:tcPr>
          <w:p w14:paraId="324C1AB9">
            <w:pPr>
              <w:numPr>
                <w:ilvl w:val="0"/>
                <w:numId w:val="1"/>
              </w:numPr>
              <w:adjustRightInd w:val="0"/>
              <w:snapToGrid w:val="0"/>
              <w:jc w:val="center"/>
              <w:rPr>
                <w:rFonts w:ascii="宋体" w:hAnsi="宋体"/>
                <w:color w:val="000000"/>
                <w:szCs w:val="21"/>
              </w:rPr>
            </w:pPr>
          </w:p>
        </w:tc>
        <w:tc>
          <w:tcPr>
            <w:tcW w:w="1662" w:type="pct"/>
            <w:tcBorders>
              <w:bottom w:val="single" w:color="auto" w:sz="2" w:space="0"/>
            </w:tcBorders>
            <w:noWrap w:val="0"/>
            <w:vAlign w:val="center"/>
          </w:tcPr>
          <w:p w14:paraId="4EB4DFD1">
            <w:pPr>
              <w:adjustRightInd w:val="0"/>
              <w:snapToGrid w:val="0"/>
              <w:jc w:val="center"/>
              <w:rPr>
                <w:rFonts w:ascii="宋体" w:hAnsi="宋体"/>
                <w:color w:val="000000"/>
                <w:szCs w:val="21"/>
              </w:rPr>
            </w:pPr>
            <w:r>
              <w:rPr>
                <w:color w:val="000000"/>
                <w:szCs w:val="21"/>
              </w:rPr>
              <w:t>钢板厚度</w:t>
            </w:r>
          </w:p>
        </w:tc>
        <w:tc>
          <w:tcPr>
            <w:tcW w:w="1411" w:type="pct"/>
            <w:tcBorders>
              <w:bottom w:val="single" w:color="auto" w:sz="2" w:space="0"/>
            </w:tcBorders>
            <w:noWrap w:val="0"/>
            <w:vAlign w:val="center"/>
          </w:tcPr>
          <w:p w14:paraId="34FFB337">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szCs w:val="21"/>
              </w:rPr>
              <w:t>GB 17565—2022</w:t>
            </w:r>
          </w:p>
        </w:tc>
        <w:tc>
          <w:tcPr>
            <w:tcW w:w="1419" w:type="pct"/>
            <w:tcBorders>
              <w:bottom w:val="single" w:color="auto" w:sz="2" w:space="0"/>
            </w:tcBorders>
            <w:noWrap w:val="0"/>
            <w:vAlign w:val="center"/>
          </w:tcPr>
          <w:p w14:paraId="6EC7ED15">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szCs w:val="21"/>
              </w:rPr>
              <w:t>GB 17565—2022</w:t>
            </w:r>
          </w:p>
        </w:tc>
      </w:tr>
      <w:tr w14:paraId="7D6F9E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5" w:hRule="atLeast"/>
          <w:tblHeader/>
          <w:jc w:val="center"/>
        </w:trPr>
        <w:tc>
          <w:tcPr>
            <w:tcW w:w="506" w:type="pct"/>
            <w:tcBorders>
              <w:top w:val="single" w:color="auto" w:sz="2" w:space="0"/>
              <w:left w:val="single" w:color="auto" w:sz="2" w:space="0"/>
              <w:bottom w:val="single" w:color="auto" w:sz="2" w:space="0"/>
            </w:tcBorders>
            <w:noWrap w:val="0"/>
            <w:vAlign w:val="center"/>
          </w:tcPr>
          <w:p w14:paraId="661FF28D">
            <w:pPr>
              <w:numPr>
                <w:ilvl w:val="0"/>
                <w:numId w:val="1"/>
              </w:numPr>
              <w:adjustRightInd w:val="0"/>
              <w:snapToGrid w:val="0"/>
              <w:jc w:val="center"/>
              <w:rPr>
                <w:rFonts w:ascii="宋体" w:hAnsi="宋体"/>
                <w:color w:val="000000"/>
                <w:szCs w:val="21"/>
              </w:rPr>
            </w:pPr>
          </w:p>
        </w:tc>
        <w:tc>
          <w:tcPr>
            <w:tcW w:w="1662" w:type="pct"/>
            <w:tcBorders>
              <w:top w:val="single" w:color="auto" w:sz="2" w:space="0"/>
              <w:bottom w:val="single" w:color="auto" w:sz="2" w:space="0"/>
            </w:tcBorders>
            <w:noWrap w:val="0"/>
            <w:vAlign w:val="center"/>
          </w:tcPr>
          <w:p w14:paraId="64690D81">
            <w:pPr>
              <w:adjustRightInd w:val="0"/>
              <w:snapToGrid w:val="0"/>
              <w:jc w:val="center"/>
              <w:rPr>
                <w:rFonts w:ascii="宋体" w:hAnsi="宋体"/>
                <w:color w:val="000000"/>
                <w:szCs w:val="21"/>
              </w:rPr>
            </w:pPr>
            <w:r>
              <w:rPr>
                <w:color w:val="000000"/>
                <w:szCs w:val="21"/>
              </w:rPr>
              <w:t>锁具配置及功能</w:t>
            </w:r>
          </w:p>
        </w:tc>
        <w:tc>
          <w:tcPr>
            <w:tcW w:w="1411" w:type="pct"/>
            <w:tcBorders>
              <w:top w:val="single" w:color="auto" w:sz="2" w:space="0"/>
              <w:bottom w:val="single" w:color="auto" w:sz="2" w:space="0"/>
            </w:tcBorders>
            <w:noWrap w:val="0"/>
            <w:vAlign w:val="center"/>
          </w:tcPr>
          <w:p w14:paraId="5BE19AE0">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szCs w:val="21"/>
              </w:rPr>
              <w:t>GB 17565—2022</w:t>
            </w:r>
          </w:p>
        </w:tc>
        <w:tc>
          <w:tcPr>
            <w:tcW w:w="1419" w:type="pct"/>
            <w:tcBorders>
              <w:top w:val="single" w:color="auto" w:sz="2" w:space="0"/>
              <w:bottom w:val="single" w:color="auto" w:sz="2" w:space="0"/>
              <w:right w:val="single" w:color="auto" w:sz="2" w:space="0"/>
            </w:tcBorders>
            <w:noWrap w:val="0"/>
            <w:vAlign w:val="center"/>
          </w:tcPr>
          <w:p w14:paraId="7C04728B">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szCs w:val="21"/>
              </w:rPr>
              <w:t>GB 17565—2022</w:t>
            </w:r>
          </w:p>
        </w:tc>
      </w:tr>
      <w:tr w14:paraId="4324A8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5" w:hRule="atLeast"/>
          <w:tblHeader/>
          <w:jc w:val="center"/>
        </w:trPr>
        <w:tc>
          <w:tcPr>
            <w:tcW w:w="506" w:type="pct"/>
            <w:tcBorders>
              <w:top w:val="single" w:color="auto" w:sz="2" w:space="0"/>
              <w:left w:val="single" w:color="auto" w:sz="2" w:space="0"/>
              <w:bottom w:val="single" w:color="auto" w:sz="2" w:space="0"/>
            </w:tcBorders>
            <w:noWrap w:val="0"/>
            <w:vAlign w:val="center"/>
          </w:tcPr>
          <w:p w14:paraId="1E924707">
            <w:pPr>
              <w:numPr>
                <w:ilvl w:val="0"/>
                <w:numId w:val="1"/>
              </w:numPr>
              <w:adjustRightInd w:val="0"/>
              <w:snapToGrid w:val="0"/>
              <w:jc w:val="center"/>
              <w:rPr>
                <w:rFonts w:ascii="宋体" w:hAnsi="宋体"/>
                <w:color w:val="000000"/>
                <w:szCs w:val="21"/>
              </w:rPr>
            </w:pPr>
          </w:p>
        </w:tc>
        <w:tc>
          <w:tcPr>
            <w:tcW w:w="1662" w:type="pct"/>
            <w:tcBorders>
              <w:top w:val="single" w:color="auto" w:sz="2" w:space="0"/>
              <w:bottom w:val="single" w:color="auto" w:sz="2" w:space="0"/>
            </w:tcBorders>
            <w:noWrap w:val="0"/>
            <w:vAlign w:val="center"/>
          </w:tcPr>
          <w:p w14:paraId="7E01CC67">
            <w:pPr>
              <w:adjustRightInd w:val="0"/>
              <w:snapToGrid w:val="0"/>
              <w:jc w:val="center"/>
              <w:rPr>
                <w:rFonts w:ascii="宋体" w:hAnsi="宋体"/>
                <w:color w:val="000000"/>
                <w:szCs w:val="21"/>
              </w:rPr>
            </w:pPr>
            <w:r>
              <w:rPr>
                <w:color w:val="000000"/>
                <w:szCs w:val="21"/>
              </w:rPr>
              <w:t>加强防护板</w:t>
            </w:r>
          </w:p>
        </w:tc>
        <w:tc>
          <w:tcPr>
            <w:tcW w:w="1411" w:type="pct"/>
            <w:tcBorders>
              <w:top w:val="single" w:color="auto" w:sz="2" w:space="0"/>
              <w:bottom w:val="single" w:color="auto" w:sz="2" w:space="0"/>
            </w:tcBorders>
            <w:noWrap w:val="0"/>
            <w:vAlign w:val="center"/>
          </w:tcPr>
          <w:p w14:paraId="633941F5">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szCs w:val="21"/>
              </w:rPr>
              <w:t>GB 17565—2022</w:t>
            </w:r>
          </w:p>
        </w:tc>
        <w:tc>
          <w:tcPr>
            <w:tcW w:w="1419" w:type="pct"/>
            <w:tcBorders>
              <w:top w:val="single" w:color="auto" w:sz="2" w:space="0"/>
              <w:bottom w:val="single" w:color="auto" w:sz="2" w:space="0"/>
              <w:right w:val="single" w:color="auto" w:sz="2" w:space="0"/>
            </w:tcBorders>
            <w:noWrap w:val="0"/>
            <w:vAlign w:val="center"/>
          </w:tcPr>
          <w:p w14:paraId="4E34D1A4">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szCs w:val="21"/>
              </w:rPr>
              <w:t>GB 17565—2022</w:t>
            </w:r>
          </w:p>
        </w:tc>
      </w:tr>
      <w:tr w14:paraId="3F2193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5" w:hRule="atLeast"/>
          <w:tblHeader/>
          <w:jc w:val="center"/>
        </w:trPr>
        <w:tc>
          <w:tcPr>
            <w:tcW w:w="506" w:type="pct"/>
            <w:tcBorders>
              <w:top w:val="single" w:color="auto" w:sz="2" w:space="0"/>
              <w:left w:val="single" w:color="auto" w:sz="2" w:space="0"/>
              <w:bottom w:val="single" w:color="auto" w:sz="2" w:space="0"/>
            </w:tcBorders>
            <w:noWrap w:val="0"/>
            <w:vAlign w:val="center"/>
          </w:tcPr>
          <w:p w14:paraId="29C4BB0D">
            <w:pPr>
              <w:numPr>
                <w:ilvl w:val="0"/>
                <w:numId w:val="1"/>
              </w:numPr>
              <w:adjustRightInd w:val="0"/>
              <w:snapToGrid w:val="0"/>
              <w:jc w:val="center"/>
              <w:rPr>
                <w:rFonts w:ascii="宋体" w:hAnsi="宋体"/>
                <w:color w:val="000000"/>
                <w:szCs w:val="21"/>
              </w:rPr>
            </w:pPr>
          </w:p>
        </w:tc>
        <w:tc>
          <w:tcPr>
            <w:tcW w:w="1662" w:type="pct"/>
            <w:tcBorders>
              <w:top w:val="single" w:color="auto" w:sz="2" w:space="0"/>
              <w:bottom w:val="single" w:color="auto" w:sz="2" w:space="0"/>
            </w:tcBorders>
            <w:noWrap w:val="0"/>
            <w:vAlign w:val="center"/>
          </w:tcPr>
          <w:p w14:paraId="038B208D">
            <w:pPr>
              <w:adjustRightInd w:val="0"/>
              <w:snapToGrid w:val="0"/>
              <w:jc w:val="center"/>
              <w:rPr>
                <w:rFonts w:ascii="宋体" w:hAnsi="宋体"/>
                <w:color w:val="000000"/>
                <w:szCs w:val="21"/>
              </w:rPr>
            </w:pPr>
            <w:r>
              <w:rPr>
                <w:color w:val="000000"/>
                <w:szCs w:val="21"/>
              </w:rPr>
              <w:t>锁芯防钻套</w:t>
            </w:r>
          </w:p>
        </w:tc>
        <w:tc>
          <w:tcPr>
            <w:tcW w:w="1411" w:type="pct"/>
            <w:tcBorders>
              <w:top w:val="single" w:color="auto" w:sz="2" w:space="0"/>
              <w:bottom w:val="single" w:color="auto" w:sz="2" w:space="0"/>
            </w:tcBorders>
            <w:noWrap w:val="0"/>
            <w:vAlign w:val="center"/>
          </w:tcPr>
          <w:p w14:paraId="27169BFE">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szCs w:val="21"/>
              </w:rPr>
              <w:t>GB 17565—2022</w:t>
            </w:r>
          </w:p>
        </w:tc>
        <w:tc>
          <w:tcPr>
            <w:tcW w:w="1419" w:type="pct"/>
            <w:tcBorders>
              <w:top w:val="single" w:color="auto" w:sz="2" w:space="0"/>
              <w:bottom w:val="single" w:color="auto" w:sz="2" w:space="0"/>
              <w:right w:val="single" w:color="auto" w:sz="2" w:space="0"/>
            </w:tcBorders>
            <w:noWrap w:val="0"/>
            <w:vAlign w:val="center"/>
          </w:tcPr>
          <w:p w14:paraId="10EAE656">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szCs w:val="21"/>
              </w:rPr>
              <w:t>GB 17565—2022</w:t>
            </w:r>
          </w:p>
        </w:tc>
      </w:tr>
      <w:tr w14:paraId="6303CD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5" w:hRule="atLeast"/>
          <w:tblHeader/>
          <w:jc w:val="center"/>
        </w:trPr>
        <w:tc>
          <w:tcPr>
            <w:tcW w:w="506" w:type="pct"/>
            <w:tcBorders>
              <w:top w:val="single" w:color="auto" w:sz="2" w:space="0"/>
              <w:left w:val="single" w:color="auto" w:sz="2" w:space="0"/>
              <w:bottom w:val="single" w:color="auto" w:sz="2" w:space="0"/>
            </w:tcBorders>
            <w:noWrap w:val="0"/>
            <w:vAlign w:val="center"/>
          </w:tcPr>
          <w:p w14:paraId="2D032E29">
            <w:pPr>
              <w:numPr>
                <w:ilvl w:val="0"/>
                <w:numId w:val="1"/>
              </w:numPr>
              <w:adjustRightInd w:val="0"/>
              <w:snapToGrid w:val="0"/>
              <w:jc w:val="center"/>
              <w:rPr>
                <w:rFonts w:ascii="宋体" w:hAnsi="宋体"/>
                <w:color w:val="000000"/>
                <w:szCs w:val="21"/>
              </w:rPr>
            </w:pPr>
          </w:p>
        </w:tc>
        <w:tc>
          <w:tcPr>
            <w:tcW w:w="1662" w:type="pct"/>
            <w:tcBorders>
              <w:top w:val="single" w:color="auto" w:sz="2" w:space="0"/>
              <w:bottom w:val="single" w:color="auto" w:sz="2" w:space="0"/>
            </w:tcBorders>
            <w:noWrap w:val="0"/>
            <w:vAlign w:val="center"/>
          </w:tcPr>
          <w:p w14:paraId="7B250CF2">
            <w:pPr>
              <w:adjustRightInd w:val="0"/>
              <w:snapToGrid w:val="0"/>
              <w:jc w:val="center"/>
              <w:rPr>
                <w:rFonts w:ascii="宋体" w:hAnsi="宋体"/>
                <w:color w:val="000000"/>
                <w:szCs w:val="21"/>
              </w:rPr>
            </w:pPr>
            <w:r>
              <w:rPr>
                <w:color w:val="000000"/>
                <w:szCs w:val="21"/>
              </w:rPr>
              <w:t>拉手强度</w:t>
            </w:r>
          </w:p>
        </w:tc>
        <w:tc>
          <w:tcPr>
            <w:tcW w:w="1411" w:type="pct"/>
            <w:tcBorders>
              <w:top w:val="single" w:color="auto" w:sz="2" w:space="0"/>
              <w:bottom w:val="single" w:color="auto" w:sz="2" w:space="0"/>
            </w:tcBorders>
            <w:noWrap w:val="0"/>
            <w:vAlign w:val="center"/>
          </w:tcPr>
          <w:p w14:paraId="12571ADD">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szCs w:val="21"/>
              </w:rPr>
              <w:t>GB 17565—2022</w:t>
            </w:r>
          </w:p>
        </w:tc>
        <w:tc>
          <w:tcPr>
            <w:tcW w:w="1419" w:type="pct"/>
            <w:tcBorders>
              <w:top w:val="single" w:color="auto" w:sz="2" w:space="0"/>
              <w:bottom w:val="single" w:color="auto" w:sz="2" w:space="0"/>
              <w:right w:val="single" w:color="auto" w:sz="2" w:space="0"/>
            </w:tcBorders>
            <w:noWrap w:val="0"/>
            <w:vAlign w:val="center"/>
          </w:tcPr>
          <w:p w14:paraId="499D3530">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szCs w:val="21"/>
              </w:rPr>
              <w:t>GB 17565—2022</w:t>
            </w:r>
          </w:p>
        </w:tc>
      </w:tr>
      <w:tr w14:paraId="2B0C12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5" w:hRule="atLeast"/>
          <w:tblHeader/>
          <w:jc w:val="center"/>
        </w:trPr>
        <w:tc>
          <w:tcPr>
            <w:tcW w:w="506" w:type="pct"/>
            <w:tcBorders>
              <w:top w:val="single" w:color="auto" w:sz="2" w:space="0"/>
              <w:left w:val="single" w:color="auto" w:sz="2" w:space="0"/>
              <w:bottom w:val="single" w:color="auto" w:sz="2" w:space="0"/>
            </w:tcBorders>
            <w:noWrap w:val="0"/>
            <w:vAlign w:val="center"/>
          </w:tcPr>
          <w:p w14:paraId="7264BFE4">
            <w:pPr>
              <w:numPr>
                <w:ilvl w:val="0"/>
                <w:numId w:val="1"/>
              </w:numPr>
              <w:adjustRightInd w:val="0"/>
              <w:snapToGrid w:val="0"/>
              <w:jc w:val="center"/>
              <w:rPr>
                <w:rFonts w:ascii="宋体" w:hAnsi="宋体"/>
                <w:color w:val="000000"/>
                <w:szCs w:val="21"/>
              </w:rPr>
            </w:pPr>
          </w:p>
        </w:tc>
        <w:tc>
          <w:tcPr>
            <w:tcW w:w="1662" w:type="pct"/>
            <w:tcBorders>
              <w:top w:val="single" w:color="auto" w:sz="2" w:space="0"/>
              <w:bottom w:val="single" w:color="auto" w:sz="2" w:space="0"/>
            </w:tcBorders>
            <w:noWrap w:val="0"/>
            <w:vAlign w:val="center"/>
          </w:tcPr>
          <w:p w14:paraId="7B36F902">
            <w:pPr>
              <w:adjustRightInd w:val="0"/>
              <w:snapToGrid w:val="0"/>
              <w:jc w:val="center"/>
              <w:rPr>
                <w:rFonts w:ascii="宋体" w:hAnsi="宋体"/>
                <w:color w:val="000000"/>
                <w:szCs w:val="21"/>
              </w:rPr>
            </w:pPr>
            <w:r>
              <w:rPr>
                <w:color w:val="000000"/>
                <w:szCs w:val="21"/>
              </w:rPr>
              <w:t>铰链的安装</w:t>
            </w:r>
          </w:p>
        </w:tc>
        <w:tc>
          <w:tcPr>
            <w:tcW w:w="1411" w:type="pct"/>
            <w:tcBorders>
              <w:top w:val="single" w:color="auto" w:sz="2" w:space="0"/>
              <w:bottom w:val="single" w:color="auto" w:sz="2" w:space="0"/>
            </w:tcBorders>
            <w:noWrap w:val="0"/>
            <w:vAlign w:val="center"/>
          </w:tcPr>
          <w:p w14:paraId="3F5BD3E1">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szCs w:val="21"/>
              </w:rPr>
              <w:t>GB 17565—2022</w:t>
            </w:r>
          </w:p>
        </w:tc>
        <w:tc>
          <w:tcPr>
            <w:tcW w:w="1419" w:type="pct"/>
            <w:tcBorders>
              <w:top w:val="single" w:color="auto" w:sz="2" w:space="0"/>
              <w:bottom w:val="single" w:color="auto" w:sz="2" w:space="0"/>
              <w:right w:val="single" w:color="auto" w:sz="2" w:space="0"/>
            </w:tcBorders>
            <w:noWrap w:val="0"/>
            <w:vAlign w:val="center"/>
          </w:tcPr>
          <w:p w14:paraId="792FEB70">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szCs w:val="21"/>
              </w:rPr>
              <w:t>GB 17565—2022</w:t>
            </w:r>
          </w:p>
        </w:tc>
      </w:tr>
      <w:tr w14:paraId="6E2642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5" w:hRule="atLeast"/>
          <w:tblHeader/>
          <w:jc w:val="center"/>
        </w:trPr>
        <w:tc>
          <w:tcPr>
            <w:tcW w:w="506" w:type="pct"/>
            <w:tcBorders>
              <w:top w:val="single" w:color="auto" w:sz="2" w:space="0"/>
              <w:left w:val="single" w:color="auto" w:sz="2" w:space="0"/>
              <w:bottom w:val="single" w:color="auto" w:sz="2" w:space="0"/>
            </w:tcBorders>
            <w:noWrap w:val="0"/>
            <w:vAlign w:val="center"/>
          </w:tcPr>
          <w:p w14:paraId="546531AC">
            <w:pPr>
              <w:numPr>
                <w:ilvl w:val="0"/>
                <w:numId w:val="1"/>
              </w:numPr>
              <w:adjustRightInd w:val="0"/>
              <w:snapToGrid w:val="0"/>
              <w:jc w:val="center"/>
              <w:rPr>
                <w:rFonts w:ascii="宋体" w:hAnsi="宋体"/>
                <w:color w:val="000000"/>
                <w:szCs w:val="21"/>
              </w:rPr>
            </w:pPr>
          </w:p>
        </w:tc>
        <w:tc>
          <w:tcPr>
            <w:tcW w:w="1662" w:type="pct"/>
            <w:tcBorders>
              <w:top w:val="single" w:color="auto" w:sz="2" w:space="0"/>
              <w:bottom w:val="single" w:color="auto" w:sz="2" w:space="0"/>
            </w:tcBorders>
            <w:noWrap w:val="0"/>
            <w:vAlign w:val="center"/>
          </w:tcPr>
          <w:p w14:paraId="71CF9C60">
            <w:pPr>
              <w:adjustRightInd w:val="0"/>
              <w:snapToGrid w:val="0"/>
              <w:jc w:val="center"/>
              <w:rPr>
                <w:rFonts w:ascii="宋体" w:hAnsi="宋体"/>
                <w:color w:val="000000"/>
                <w:szCs w:val="21"/>
              </w:rPr>
            </w:pPr>
            <w:r>
              <w:rPr>
                <w:color w:val="000000"/>
                <w:szCs w:val="21"/>
              </w:rPr>
              <w:t>锁定栓</w:t>
            </w:r>
          </w:p>
        </w:tc>
        <w:tc>
          <w:tcPr>
            <w:tcW w:w="1411" w:type="pct"/>
            <w:tcBorders>
              <w:top w:val="single" w:color="auto" w:sz="2" w:space="0"/>
              <w:bottom w:val="single" w:color="auto" w:sz="2" w:space="0"/>
            </w:tcBorders>
            <w:noWrap w:val="0"/>
            <w:vAlign w:val="center"/>
          </w:tcPr>
          <w:p w14:paraId="60711832">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szCs w:val="21"/>
              </w:rPr>
              <w:t>GB 17565—2022</w:t>
            </w:r>
          </w:p>
        </w:tc>
        <w:tc>
          <w:tcPr>
            <w:tcW w:w="1419" w:type="pct"/>
            <w:tcBorders>
              <w:top w:val="single" w:color="auto" w:sz="2" w:space="0"/>
              <w:bottom w:val="single" w:color="auto" w:sz="2" w:space="0"/>
              <w:right w:val="single" w:color="auto" w:sz="2" w:space="0"/>
            </w:tcBorders>
            <w:noWrap w:val="0"/>
            <w:vAlign w:val="center"/>
          </w:tcPr>
          <w:p w14:paraId="5EB9650F">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szCs w:val="21"/>
              </w:rPr>
              <w:t>GB 17565—2022</w:t>
            </w:r>
          </w:p>
        </w:tc>
      </w:tr>
      <w:tr w14:paraId="0C6295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5" w:hRule="atLeast"/>
          <w:tblHeader/>
          <w:jc w:val="center"/>
        </w:trPr>
        <w:tc>
          <w:tcPr>
            <w:tcW w:w="506" w:type="pct"/>
            <w:tcBorders>
              <w:top w:val="single" w:color="auto" w:sz="2" w:space="0"/>
              <w:left w:val="single" w:color="auto" w:sz="2" w:space="0"/>
              <w:bottom w:val="single" w:color="auto" w:sz="2" w:space="0"/>
            </w:tcBorders>
            <w:noWrap w:val="0"/>
            <w:vAlign w:val="center"/>
          </w:tcPr>
          <w:p w14:paraId="55DAFF23">
            <w:pPr>
              <w:numPr>
                <w:ilvl w:val="0"/>
                <w:numId w:val="1"/>
              </w:numPr>
              <w:adjustRightInd w:val="0"/>
              <w:snapToGrid w:val="0"/>
              <w:jc w:val="center"/>
              <w:rPr>
                <w:rFonts w:ascii="宋体" w:hAnsi="宋体"/>
                <w:color w:val="000000"/>
                <w:szCs w:val="21"/>
              </w:rPr>
            </w:pPr>
          </w:p>
        </w:tc>
        <w:tc>
          <w:tcPr>
            <w:tcW w:w="1662" w:type="pct"/>
            <w:tcBorders>
              <w:top w:val="single" w:color="auto" w:sz="2" w:space="0"/>
              <w:bottom w:val="single" w:color="auto" w:sz="2" w:space="0"/>
            </w:tcBorders>
            <w:noWrap w:val="0"/>
            <w:vAlign w:val="center"/>
          </w:tcPr>
          <w:p w14:paraId="66249514">
            <w:pPr>
              <w:adjustRightInd w:val="0"/>
              <w:snapToGrid w:val="0"/>
              <w:jc w:val="center"/>
              <w:rPr>
                <w:rFonts w:ascii="宋体" w:hAnsi="宋体"/>
                <w:color w:val="000000"/>
                <w:szCs w:val="21"/>
              </w:rPr>
            </w:pPr>
            <w:r>
              <w:rPr>
                <w:color w:val="000000"/>
                <w:szCs w:val="21"/>
              </w:rPr>
              <w:t>门镜的安装强度</w:t>
            </w:r>
          </w:p>
        </w:tc>
        <w:tc>
          <w:tcPr>
            <w:tcW w:w="1411" w:type="pct"/>
            <w:tcBorders>
              <w:top w:val="single" w:color="auto" w:sz="2" w:space="0"/>
              <w:bottom w:val="single" w:color="auto" w:sz="2" w:space="0"/>
            </w:tcBorders>
            <w:noWrap w:val="0"/>
            <w:vAlign w:val="center"/>
          </w:tcPr>
          <w:p w14:paraId="24C11CED">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szCs w:val="21"/>
              </w:rPr>
              <w:t>GB 17565—2022</w:t>
            </w:r>
          </w:p>
        </w:tc>
        <w:tc>
          <w:tcPr>
            <w:tcW w:w="1419" w:type="pct"/>
            <w:tcBorders>
              <w:top w:val="single" w:color="auto" w:sz="2" w:space="0"/>
              <w:bottom w:val="single" w:color="auto" w:sz="2" w:space="0"/>
              <w:right w:val="single" w:color="auto" w:sz="2" w:space="0"/>
            </w:tcBorders>
            <w:noWrap w:val="0"/>
            <w:vAlign w:val="center"/>
          </w:tcPr>
          <w:p w14:paraId="78009E81">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szCs w:val="21"/>
              </w:rPr>
              <w:t>GB 17565—2022</w:t>
            </w:r>
          </w:p>
        </w:tc>
      </w:tr>
      <w:tr w14:paraId="4A4E82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5" w:hRule="atLeast"/>
          <w:tblHeader/>
          <w:jc w:val="center"/>
        </w:trPr>
        <w:tc>
          <w:tcPr>
            <w:tcW w:w="506" w:type="pct"/>
            <w:tcBorders>
              <w:top w:val="single" w:color="auto" w:sz="2" w:space="0"/>
              <w:left w:val="single" w:color="auto" w:sz="2" w:space="0"/>
              <w:bottom w:val="single" w:color="auto" w:sz="2" w:space="0"/>
            </w:tcBorders>
            <w:noWrap w:val="0"/>
            <w:vAlign w:val="center"/>
          </w:tcPr>
          <w:p w14:paraId="183E5253">
            <w:pPr>
              <w:numPr>
                <w:ilvl w:val="0"/>
                <w:numId w:val="1"/>
              </w:numPr>
              <w:adjustRightInd w:val="0"/>
              <w:snapToGrid w:val="0"/>
              <w:jc w:val="center"/>
              <w:rPr>
                <w:rFonts w:ascii="宋体" w:hAnsi="宋体"/>
                <w:color w:val="000000"/>
                <w:szCs w:val="21"/>
              </w:rPr>
            </w:pPr>
          </w:p>
        </w:tc>
        <w:tc>
          <w:tcPr>
            <w:tcW w:w="1662" w:type="pct"/>
            <w:tcBorders>
              <w:top w:val="single" w:color="auto" w:sz="2" w:space="0"/>
              <w:bottom w:val="single" w:color="auto" w:sz="2" w:space="0"/>
            </w:tcBorders>
            <w:noWrap w:val="0"/>
            <w:vAlign w:val="center"/>
          </w:tcPr>
          <w:p w14:paraId="07F8AF63">
            <w:pPr>
              <w:adjustRightInd w:val="0"/>
              <w:snapToGrid w:val="0"/>
              <w:jc w:val="center"/>
              <w:rPr>
                <w:rFonts w:ascii="宋体" w:hAnsi="宋体"/>
                <w:color w:val="000000"/>
                <w:szCs w:val="21"/>
              </w:rPr>
            </w:pPr>
            <w:r>
              <w:rPr>
                <w:color w:val="000000"/>
                <w:szCs w:val="21"/>
              </w:rPr>
              <w:t>防破坏性能</w:t>
            </w:r>
          </w:p>
        </w:tc>
        <w:tc>
          <w:tcPr>
            <w:tcW w:w="1411" w:type="pct"/>
            <w:tcBorders>
              <w:top w:val="single" w:color="auto" w:sz="2" w:space="0"/>
              <w:bottom w:val="single" w:color="auto" w:sz="2" w:space="0"/>
            </w:tcBorders>
            <w:noWrap w:val="0"/>
            <w:vAlign w:val="center"/>
          </w:tcPr>
          <w:p w14:paraId="569B52E4">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szCs w:val="21"/>
              </w:rPr>
              <w:t>GB 17565—2022</w:t>
            </w:r>
          </w:p>
        </w:tc>
        <w:tc>
          <w:tcPr>
            <w:tcW w:w="1419" w:type="pct"/>
            <w:tcBorders>
              <w:top w:val="single" w:color="auto" w:sz="2" w:space="0"/>
              <w:bottom w:val="single" w:color="auto" w:sz="2" w:space="0"/>
              <w:right w:val="single" w:color="auto" w:sz="2" w:space="0"/>
            </w:tcBorders>
            <w:noWrap w:val="0"/>
            <w:vAlign w:val="center"/>
          </w:tcPr>
          <w:p w14:paraId="4C75CF33">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szCs w:val="21"/>
              </w:rPr>
              <w:t>GB 17565—2022</w:t>
            </w:r>
          </w:p>
        </w:tc>
      </w:tr>
      <w:tr w14:paraId="5C74C0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5" w:hRule="atLeast"/>
          <w:tblHeader/>
          <w:jc w:val="center"/>
        </w:trPr>
        <w:tc>
          <w:tcPr>
            <w:tcW w:w="506" w:type="pct"/>
            <w:tcBorders>
              <w:top w:val="single" w:color="auto" w:sz="2" w:space="0"/>
              <w:left w:val="single" w:color="auto" w:sz="2" w:space="0"/>
              <w:bottom w:val="single" w:color="auto" w:sz="2" w:space="0"/>
            </w:tcBorders>
            <w:noWrap w:val="0"/>
            <w:vAlign w:val="center"/>
          </w:tcPr>
          <w:p w14:paraId="735CDD58">
            <w:pPr>
              <w:numPr>
                <w:ilvl w:val="0"/>
                <w:numId w:val="1"/>
              </w:numPr>
              <w:adjustRightInd w:val="0"/>
              <w:snapToGrid w:val="0"/>
              <w:jc w:val="center"/>
              <w:rPr>
                <w:rFonts w:ascii="宋体" w:hAnsi="宋体"/>
                <w:color w:val="000000"/>
                <w:szCs w:val="21"/>
              </w:rPr>
            </w:pPr>
          </w:p>
        </w:tc>
        <w:tc>
          <w:tcPr>
            <w:tcW w:w="1662" w:type="pct"/>
            <w:tcBorders>
              <w:top w:val="single" w:color="auto" w:sz="2" w:space="0"/>
              <w:bottom w:val="single" w:color="auto" w:sz="2" w:space="0"/>
            </w:tcBorders>
            <w:noWrap w:val="0"/>
            <w:vAlign w:val="center"/>
          </w:tcPr>
          <w:p w14:paraId="4D56BEEE">
            <w:pPr>
              <w:adjustRightInd w:val="0"/>
              <w:snapToGrid w:val="0"/>
              <w:jc w:val="center"/>
              <w:rPr>
                <w:rFonts w:ascii="宋体" w:hAnsi="宋体"/>
                <w:color w:val="000000"/>
                <w:szCs w:val="21"/>
              </w:rPr>
            </w:pPr>
            <w:r>
              <w:rPr>
                <w:color w:val="000000"/>
                <w:szCs w:val="21"/>
              </w:rPr>
              <w:t>防闯入性能</w:t>
            </w:r>
          </w:p>
        </w:tc>
        <w:tc>
          <w:tcPr>
            <w:tcW w:w="1411" w:type="pct"/>
            <w:tcBorders>
              <w:top w:val="single" w:color="auto" w:sz="2" w:space="0"/>
              <w:bottom w:val="single" w:color="auto" w:sz="2" w:space="0"/>
            </w:tcBorders>
            <w:noWrap w:val="0"/>
            <w:vAlign w:val="center"/>
          </w:tcPr>
          <w:p w14:paraId="63851276">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szCs w:val="21"/>
              </w:rPr>
              <w:t>GB 17565—2022</w:t>
            </w:r>
          </w:p>
        </w:tc>
        <w:tc>
          <w:tcPr>
            <w:tcW w:w="1419" w:type="pct"/>
            <w:tcBorders>
              <w:top w:val="single" w:color="auto" w:sz="2" w:space="0"/>
              <w:bottom w:val="single" w:color="auto" w:sz="2" w:space="0"/>
              <w:right w:val="single" w:color="auto" w:sz="2" w:space="0"/>
            </w:tcBorders>
            <w:noWrap w:val="0"/>
            <w:vAlign w:val="center"/>
          </w:tcPr>
          <w:p w14:paraId="12C08F5E">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szCs w:val="21"/>
              </w:rPr>
              <w:t>GB 17565—2022</w:t>
            </w:r>
          </w:p>
        </w:tc>
      </w:tr>
      <w:tr w14:paraId="6E4E8B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5" w:hRule="atLeast"/>
          <w:tblHeader/>
          <w:jc w:val="center"/>
        </w:trPr>
        <w:tc>
          <w:tcPr>
            <w:tcW w:w="506" w:type="pct"/>
            <w:tcBorders>
              <w:top w:val="single" w:color="auto" w:sz="2" w:space="0"/>
              <w:left w:val="single" w:color="auto" w:sz="2" w:space="0"/>
              <w:bottom w:val="single" w:color="auto" w:sz="2" w:space="0"/>
            </w:tcBorders>
            <w:noWrap w:val="0"/>
            <w:vAlign w:val="center"/>
          </w:tcPr>
          <w:p w14:paraId="71BB17DA">
            <w:pPr>
              <w:numPr>
                <w:ilvl w:val="0"/>
                <w:numId w:val="1"/>
              </w:numPr>
              <w:adjustRightInd w:val="0"/>
              <w:snapToGrid w:val="0"/>
              <w:jc w:val="center"/>
              <w:rPr>
                <w:rFonts w:ascii="宋体" w:hAnsi="宋体"/>
                <w:color w:val="000000"/>
                <w:szCs w:val="21"/>
              </w:rPr>
            </w:pPr>
          </w:p>
        </w:tc>
        <w:tc>
          <w:tcPr>
            <w:tcW w:w="1662" w:type="pct"/>
            <w:tcBorders>
              <w:top w:val="single" w:color="auto" w:sz="2" w:space="0"/>
              <w:bottom w:val="single" w:color="auto" w:sz="2" w:space="0"/>
            </w:tcBorders>
            <w:noWrap w:val="0"/>
            <w:vAlign w:val="center"/>
          </w:tcPr>
          <w:p w14:paraId="597ACF67">
            <w:pPr>
              <w:adjustRightInd w:val="0"/>
              <w:snapToGrid w:val="0"/>
              <w:jc w:val="center"/>
              <w:rPr>
                <w:color w:val="000000"/>
                <w:szCs w:val="21"/>
              </w:rPr>
            </w:pPr>
            <w:r>
              <w:rPr>
                <w:rFonts w:hint="eastAsia"/>
                <w:color w:val="000000"/>
                <w:szCs w:val="21"/>
              </w:rPr>
              <w:t>悬端吊重性能</w:t>
            </w:r>
          </w:p>
        </w:tc>
        <w:tc>
          <w:tcPr>
            <w:tcW w:w="1411" w:type="pct"/>
            <w:tcBorders>
              <w:top w:val="single" w:color="auto" w:sz="2" w:space="0"/>
              <w:bottom w:val="single" w:color="auto" w:sz="2" w:space="0"/>
            </w:tcBorders>
            <w:noWrap w:val="0"/>
            <w:vAlign w:val="center"/>
          </w:tcPr>
          <w:p w14:paraId="17A117A5">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szCs w:val="21"/>
              </w:rPr>
              <w:t>GB 17565—2022</w:t>
            </w:r>
          </w:p>
        </w:tc>
        <w:tc>
          <w:tcPr>
            <w:tcW w:w="1419" w:type="pct"/>
            <w:tcBorders>
              <w:top w:val="single" w:color="auto" w:sz="2" w:space="0"/>
              <w:bottom w:val="single" w:color="auto" w:sz="2" w:space="0"/>
              <w:right w:val="single" w:color="auto" w:sz="2" w:space="0"/>
            </w:tcBorders>
            <w:noWrap w:val="0"/>
            <w:vAlign w:val="center"/>
          </w:tcPr>
          <w:p w14:paraId="39181400">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szCs w:val="21"/>
              </w:rPr>
              <w:t>GB 17565—2022</w:t>
            </w:r>
          </w:p>
        </w:tc>
      </w:tr>
      <w:tr w14:paraId="0A243B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435" w:hRule="atLeast"/>
          <w:tblHeader/>
          <w:jc w:val="center"/>
        </w:trPr>
        <w:tc>
          <w:tcPr>
            <w:tcW w:w="506" w:type="pct"/>
            <w:tcBorders>
              <w:top w:val="single" w:color="auto" w:sz="2" w:space="0"/>
              <w:left w:val="single" w:color="auto" w:sz="2" w:space="0"/>
              <w:bottom w:val="single" w:color="auto" w:sz="2" w:space="0"/>
            </w:tcBorders>
            <w:noWrap w:val="0"/>
            <w:vAlign w:val="center"/>
          </w:tcPr>
          <w:p w14:paraId="7FFD8A10">
            <w:pPr>
              <w:numPr>
                <w:ilvl w:val="0"/>
                <w:numId w:val="1"/>
              </w:numPr>
              <w:adjustRightInd w:val="0"/>
              <w:snapToGrid w:val="0"/>
              <w:jc w:val="center"/>
              <w:rPr>
                <w:rFonts w:ascii="宋体" w:hAnsi="宋体"/>
                <w:color w:val="000000"/>
                <w:szCs w:val="21"/>
              </w:rPr>
            </w:pPr>
          </w:p>
        </w:tc>
        <w:tc>
          <w:tcPr>
            <w:tcW w:w="1662" w:type="pct"/>
            <w:tcBorders>
              <w:top w:val="single" w:color="auto" w:sz="2" w:space="0"/>
              <w:bottom w:val="single" w:color="auto" w:sz="2" w:space="0"/>
            </w:tcBorders>
            <w:noWrap w:val="0"/>
            <w:vAlign w:val="center"/>
          </w:tcPr>
          <w:p w14:paraId="231BFD05">
            <w:pPr>
              <w:adjustRightInd w:val="0"/>
              <w:snapToGrid w:val="0"/>
              <w:jc w:val="center"/>
              <w:rPr>
                <w:color w:val="000000"/>
                <w:szCs w:val="21"/>
              </w:rPr>
            </w:pPr>
            <w:r>
              <w:rPr>
                <w:rFonts w:hint="eastAsia"/>
                <w:color w:val="000000"/>
                <w:szCs w:val="21"/>
              </w:rPr>
              <w:t>撞击障碍物性能</w:t>
            </w:r>
          </w:p>
        </w:tc>
        <w:tc>
          <w:tcPr>
            <w:tcW w:w="1411" w:type="pct"/>
            <w:tcBorders>
              <w:top w:val="single" w:color="auto" w:sz="2" w:space="0"/>
              <w:bottom w:val="single" w:color="auto" w:sz="2" w:space="0"/>
            </w:tcBorders>
            <w:noWrap w:val="0"/>
            <w:vAlign w:val="center"/>
          </w:tcPr>
          <w:p w14:paraId="6F29E7F1">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szCs w:val="21"/>
              </w:rPr>
              <w:t>GB 17565—2022</w:t>
            </w:r>
          </w:p>
        </w:tc>
        <w:tc>
          <w:tcPr>
            <w:tcW w:w="1419" w:type="pct"/>
            <w:tcBorders>
              <w:top w:val="single" w:color="auto" w:sz="2" w:space="0"/>
              <w:bottom w:val="single" w:color="auto" w:sz="2" w:space="0"/>
              <w:right w:val="single" w:color="auto" w:sz="2" w:space="0"/>
            </w:tcBorders>
            <w:noWrap w:val="0"/>
            <w:vAlign w:val="center"/>
          </w:tcPr>
          <w:p w14:paraId="54DEFB8C">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szCs w:val="21"/>
              </w:rPr>
              <w:t>GB 17565—2022</w:t>
            </w:r>
          </w:p>
        </w:tc>
      </w:tr>
      <w:tr w14:paraId="3BE26C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5" w:hRule="atLeast"/>
          <w:tblHeader/>
          <w:jc w:val="center"/>
        </w:trPr>
        <w:tc>
          <w:tcPr>
            <w:tcW w:w="506" w:type="pct"/>
            <w:tcBorders>
              <w:top w:val="single" w:color="auto" w:sz="2" w:space="0"/>
              <w:left w:val="single" w:color="auto" w:sz="2" w:space="0"/>
              <w:bottom w:val="single" w:color="auto" w:sz="2" w:space="0"/>
            </w:tcBorders>
            <w:noWrap w:val="0"/>
            <w:vAlign w:val="center"/>
          </w:tcPr>
          <w:p w14:paraId="0EB2C8DF">
            <w:pPr>
              <w:numPr>
                <w:ilvl w:val="0"/>
                <w:numId w:val="1"/>
              </w:numPr>
              <w:adjustRightInd w:val="0"/>
              <w:snapToGrid w:val="0"/>
              <w:jc w:val="center"/>
              <w:rPr>
                <w:rFonts w:ascii="宋体" w:hAnsi="宋体"/>
                <w:color w:val="000000"/>
                <w:szCs w:val="21"/>
              </w:rPr>
            </w:pPr>
          </w:p>
        </w:tc>
        <w:tc>
          <w:tcPr>
            <w:tcW w:w="1662" w:type="pct"/>
            <w:tcBorders>
              <w:top w:val="single" w:color="auto" w:sz="2" w:space="0"/>
              <w:bottom w:val="single" w:color="auto" w:sz="2" w:space="0"/>
            </w:tcBorders>
            <w:noWrap w:val="0"/>
            <w:vAlign w:val="center"/>
          </w:tcPr>
          <w:p w14:paraId="249E7E1B">
            <w:pPr>
              <w:adjustRightInd w:val="0"/>
              <w:snapToGrid w:val="0"/>
              <w:jc w:val="center"/>
              <w:rPr>
                <w:color w:val="000000"/>
                <w:szCs w:val="21"/>
              </w:rPr>
            </w:pPr>
            <w:r>
              <w:rPr>
                <w:color w:val="000000"/>
                <w:szCs w:val="21"/>
              </w:rPr>
              <w:t>接触电压</w:t>
            </w:r>
          </w:p>
        </w:tc>
        <w:tc>
          <w:tcPr>
            <w:tcW w:w="1411" w:type="pct"/>
            <w:tcBorders>
              <w:top w:val="single" w:color="auto" w:sz="2" w:space="0"/>
              <w:bottom w:val="single" w:color="auto" w:sz="2" w:space="0"/>
            </w:tcBorders>
            <w:noWrap w:val="0"/>
            <w:vAlign w:val="center"/>
          </w:tcPr>
          <w:p w14:paraId="30EE8505">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szCs w:val="21"/>
              </w:rPr>
              <w:t>GB 17565—2022</w:t>
            </w:r>
          </w:p>
        </w:tc>
        <w:tc>
          <w:tcPr>
            <w:tcW w:w="1419" w:type="pct"/>
            <w:tcBorders>
              <w:top w:val="single" w:color="auto" w:sz="2" w:space="0"/>
              <w:bottom w:val="single" w:color="auto" w:sz="2" w:space="0"/>
              <w:right w:val="single" w:color="auto" w:sz="2" w:space="0"/>
            </w:tcBorders>
            <w:noWrap w:val="0"/>
            <w:vAlign w:val="center"/>
          </w:tcPr>
          <w:p w14:paraId="60F0AA21">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szCs w:val="21"/>
              </w:rPr>
              <w:t>GB 17565—2022</w:t>
            </w:r>
          </w:p>
        </w:tc>
      </w:tr>
      <w:tr w14:paraId="56D1B7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5" w:hRule="atLeast"/>
          <w:tblHeader/>
          <w:jc w:val="center"/>
        </w:trPr>
        <w:tc>
          <w:tcPr>
            <w:tcW w:w="506" w:type="pct"/>
            <w:tcBorders>
              <w:top w:val="single" w:color="auto" w:sz="2" w:space="0"/>
              <w:left w:val="single" w:color="auto" w:sz="2" w:space="0"/>
              <w:bottom w:val="single" w:color="auto" w:sz="2" w:space="0"/>
            </w:tcBorders>
            <w:noWrap w:val="0"/>
            <w:vAlign w:val="center"/>
          </w:tcPr>
          <w:p w14:paraId="029E6411">
            <w:pPr>
              <w:numPr>
                <w:ilvl w:val="0"/>
                <w:numId w:val="1"/>
              </w:numPr>
              <w:adjustRightInd w:val="0"/>
              <w:snapToGrid w:val="0"/>
              <w:jc w:val="center"/>
              <w:rPr>
                <w:rFonts w:ascii="宋体" w:hAnsi="宋体"/>
                <w:color w:val="000000"/>
                <w:szCs w:val="21"/>
              </w:rPr>
            </w:pPr>
          </w:p>
        </w:tc>
        <w:tc>
          <w:tcPr>
            <w:tcW w:w="1662" w:type="pct"/>
            <w:tcBorders>
              <w:top w:val="single" w:color="auto" w:sz="2" w:space="0"/>
              <w:bottom w:val="single" w:color="auto" w:sz="2" w:space="0"/>
            </w:tcBorders>
            <w:noWrap w:val="0"/>
            <w:vAlign w:val="center"/>
          </w:tcPr>
          <w:p w14:paraId="32B53F90">
            <w:pPr>
              <w:adjustRightInd w:val="0"/>
              <w:snapToGrid w:val="0"/>
              <w:jc w:val="center"/>
              <w:rPr>
                <w:color w:val="000000"/>
                <w:szCs w:val="21"/>
              </w:rPr>
            </w:pPr>
            <w:r>
              <w:rPr>
                <w:color w:val="000000"/>
                <w:szCs w:val="21"/>
              </w:rPr>
              <w:t>绝缘电阻</w:t>
            </w:r>
          </w:p>
        </w:tc>
        <w:tc>
          <w:tcPr>
            <w:tcW w:w="1411" w:type="pct"/>
            <w:tcBorders>
              <w:top w:val="single" w:color="auto" w:sz="2" w:space="0"/>
              <w:bottom w:val="single" w:color="auto" w:sz="2" w:space="0"/>
            </w:tcBorders>
            <w:noWrap w:val="0"/>
            <w:vAlign w:val="center"/>
          </w:tcPr>
          <w:p w14:paraId="20DEDDDD">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szCs w:val="21"/>
              </w:rPr>
              <w:t>GB 17565—2022</w:t>
            </w:r>
          </w:p>
        </w:tc>
        <w:tc>
          <w:tcPr>
            <w:tcW w:w="1419" w:type="pct"/>
            <w:tcBorders>
              <w:top w:val="single" w:color="auto" w:sz="2" w:space="0"/>
              <w:bottom w:val="single" w:color="auto" w:sz="2" w:space="0"/>
              <w:right w:val="single" w:color="auto" w:sz="2" w:space="0"/>
            </w:tcBorders>
            <w:noWrap w:val="0"/>
            <w:vAlign w:val="center"/>
          </w:tcPr>
          <w:p w14:paraId="625933F4">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szCs w:val="21"/>
              </w:rPr>
              <w:t>GB 17565—2022</w:t>
            </w:r>
          </w:p>
        </w:tc>
      </w:tr>
      <w:tr w14:paraId="7898CE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43" w:hRule="atLeast"/>
          <w:tblHeader/>
          <w:jc w:val="center"/>
        </w:trPr>
        <w:tc>
          <w:tcPr>
            <w:tcW w:w="5000" w:type="pct"/>
            <w:gridSpan w:val="4"/>
            <w:tcBorders>
              <w:top w:val="single" w:color="auto" w:sz="2" w:space="0"/>
              <w:left w:val="single" w:color="auto" w:sz="2" w:space="0"/>
              <w:bottom w:val="single" w:color="auto" w:sz="2" w:space="0"/>
              <w:right w:val="single" w:color="auto" w:sz="2" w:space="0"/>
            </w:tcBorders>
            <w:noWrap w:val="0"/>
            <w:vAlign w:val="center"/>
          </w:tcPr>
          <w:p w14:paraId="72A6E21F">
            <w:pPr>
              <w:snapToGrid w:val="0"/>
              <w:spacing w:line="300" w:lineRule="exact"/>
              <w:rPr>
                <w:rFonts w:ascii="Times New Roman" w:hAnsi="Times New Roman" w:cs="Times New Roman"/>
                <w:szCs w:val="21"/>
              </w:rPr>
            </w:pPr>
            <w:r>
              <w:rPr>
                <w:rFonts w:hint="eastAsia"/>
                <w:szCs w:val="21"/>
              </w:rPr>
              <w:t>注：</w:t>
            </w:r>
            <w:r>
              <w:rPr>
                <w:rFonts w:hint="default" w:ascii="Times New Roman" w:hAnsi="Times New Roman" w:cs="Times New Roman"/>
                <w:szCs w:val="21"/>
              </w:rPr>
              <w:t>1.</w:t>
            </w:r>
            <w:r>
              <w:rPr>
                <w:rFonts w:ascii="Times New Roman" w:hAnsi="Times New Roman" w:cs="Times New Roman"/>
                <w:szCs w:val="21"/>
              </w:rPr>
              <w:t>锁具</w:t>
            </w:r>
            <w:r>
              <w:rPr>
                <w:rFonts w:hint="default" w:ascii="Times New Roman" w:hAnsi="Times New Roman" w:cs="Times New Roman"/>
                <w:szCs w:val="21"/>
              </w:rPr>
              <w:t>配置及功能项目</w:t>
            </w:r>
            <w:r>
              <w:rPr>
                <w:rFonts w:ascii="Times New Roman" w:hAnsi="Times New Roman" w:cs="Times New Roman"/>
                <w:szCs w:val="21"/>
              </w:rPr>
              <w:t>只测</w:t>
            </w:r>
            <w:r>
              <w:rPr>
                <w:rFonts w:hint="default" w:ascii="Times New Roman" w:hAnsi="Times New Roman" w:cs="Times New Roman"/>
                <w:szCs w:val="21"/>
              </w:rPr>
              <w:t xml:space="preserve">GB 17565—2022 </w:t>
            </w:r>
            <w:r>
              <w:rPr>
                <w:rFonts w:ascii="Times New Roman" w:hAnsi="Times New Roman" w:cs="Times New Roman"/>
                <w:szCs w:val="21"/>
              </w:rPr>
              <w:t>5.3.1.2开启功能</w:t>
            </w:r>
            <w:r>
              <w:rPr>
                <w:rFonts w:hint="default" w:ascii="Times New Roman" w:hAnsi="Times New Roman" w:cs="Times New Roman"/>
                <w:szCs w:val="21"/>
              </w:rPr>
              <w:t>；</w:t>
            </w:r>
          </w:p>
          <w:p w14:paraId="79B51334">
            <w:pPr>
              <w:snapToGrid w:val="0"/>
              <w:spacing w:line="300" w:lineRule="exact"/>
              <w:rPr>
                <w:rFonts w:ascii="Times New Roman" w:hAnsi="Times New Roman" w:cs="Times New Roman"/>
                <w:szCs w:val="21"/>
              </w:rPr>
            </w:pPr>
            <w:r>
              <w:rPr>
                <w:rFonts w:ascii="Times New Roman" w:hAnsi="Times New Roman" w:cs="Times New Roman"/>
                <w:szCs w:val="21"/>
              </w:rPr>
              <w:t xml:space="preserve">    </w:t>
            </w:r>
            <w:r>
              <w:rPr>
                <w:rFonts w:hint="default" w:ascii="Times New Roman" w:hAnsi="Times New Roman" w:cs="Times New Roman"/>
                <w:szCs w:val="21"/>
              </w:rPr>
              <w:t>2.</w:t>
            </w:r>
            <w:r>
              <w:rPr>
                <w:rFonts w:ascii="Times New Roman" w:hAnsi="Times New Roman" w:cs="Times New Roman"/>
                <w:szCs w:val="21"/>
              </w:rPr>
              <w:t>加强防护板</w:t>
            </w:r>
            <w:r>
              <w:rPr>
                <w:rFonts w:hint="default" w:ascii="Times New Roman" w:hAnsi="Times New Roman" w:cs="Times New Roman"/>
                <w:szCs w:val="21"/>
              </w:rPr>
              <w:t>项目</w:t>
            </w:r>
            <w:r>
              <w:rPr>
                <w:rFonts w:ascii="Times New Roman" w:hAnsi="Times New Roman" w:cs="Times New Roman"/>
                <w:szCs w:val="21"/>
              </w:rPr>
              <w:t>只测</w:t>
            </w:r>
            <w:r>
              <w:rPr>
                <w:rFonts w:hint="default" w:ascii="Times New Roman" w:hAnsi="Times New Roman" w:cs="Times New Roman"/>
                <w:szCs w:val="21"/>
              </w:rPr>
              <w:t xml:space="preserve">GB 17565—2022 </w:t>
            </w:r>
            <w:r>
              <w:rPr>
                <w:rFonts w:ascii="Times New Roman" w:hAnsi="Times New Roman" w:cs="Times New Roman"/>
                <w:szCs w:val="21"/>
              </w:rPr>
              <w:t>5.3.2.1防护面厚度、尺寸；</w:t>
            </w:r>
          </w:p>
          <w:p w14:paraId="659A213A">
            <w:pPr>
              <w:snapToGrid w:val="0"/>
              <w:spacing w:line="300" w:lineRule="exact"/>
              <w:ind w:firstLine="420"/>
              <w:rPr>
                <w:rFonts w:hint="default" w:ascii="Times New Roman" w:hAnsi="Times New Roman" w:cs="Times New Roman"/>
                <w:szCs w:val="21"/>
              </w:rPr>
            </w:pPr>
            <w:r>
              <w:rPr>
                <w:rFonts w:hint="default" w:ascii="Times New Roman" w:hAnsi="Times New Roman" w:cs="Times New Roman"/>
                <w:szCs w:val="21"/>
              </w:rPr>
              <w:t>3.</w:t>
            </w:r>
            <w:r>
              <w:rPr>
                <w:rFonts w:ascii="Times New Roman" w:hAnsi="Times New Roman" w:cs="Times New Roman"/>
                <w:szCs w:val="21"/>
              </w:rPr>
              <w:t>锁定栓</w:t>
            </w:r>
            <w:r>
              <w:rPr>
                <w:rFonts w:hint="default" w:ascii="Times New Roman" w:hAnsi="Times New Roman" w:cs="Times New Roman"/>
                <w:szCs w:val="21"/>
              </w:rPr>
              <w:t>项目</w:t>
            </w:r>
            <w:r>
              <w:rPr>
                <w:rFonts w:ascii="Times New Roman" w:hAnsi="Times New Roman" w:cs="Times New Roman"/>
                <w:szCs w:val="21"/>
              </w:rPr>
              <w:t>不测材质</w:t>
            </w:r>
            <w:r>
              <w:rPr>
                <w:rFonts w:hint="default" w:ascii="Times New Roman" w:hAnsi="Times New Roman" w:cs="Times New Roman"/>
                <w:szCs w:val="21"/>
              </w:rPr>
              <w:t>；</w:t>
            </w:r>
          </w:p>
          <w:p w14:paraId="2FBC8D93">
            <w:pPr>
              <w:snapToGrid w:val="0"/>
              <w:spacing w:line="300" w:lineRule="exact"/>
              <w:ind w:firstLine="420"/>
              <w:rPr>
                <w:rFonts w:ascii="Times New Roman" w:hAnsi="Times New Roman" w:cs="Times New Roman"/>
                <w:szCs w:val="21"/>
              </w:rPr>
            </w:pPr>
            <w:r>
              <w:rPr>
                <w:rFonts w:hint="default" w:ascii="Times New Roman" w:hAnsi="Times New Roman" w:cs="Times New Roman"/>
                <w:szCs w:val="21"/>
              </w:rPr>
              <w:t>4.防闯入性能项目只测带防闯入装置的防盗安全门；</w:t>
            </w:r>
          </w:p>
          <w:p w14:paraId="4CF1095A">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cs="Times New Roman"/>
                <w:szCs w:val="21"/>
              </w:rPr>
            </w:pPr>
            <w:r>
              <w:rPr>
                <w:rFonts w:hint="default" w:ascii="Times New Roman" w:hAnsi="Times New Roman" w:cs="Times New Roman"/>
                <w:szCs w:val="21"/>
              </w:rPr>
              <w:t>5.接触电压、绝缘电阻项目只测使用交直流电源的防盗安全门。</w:t>
            </w:r>
          </w:p>
        </w:tc>
      </w:tr>
    </w:tbl>
    <w:p w14:paraId="73ADB79E">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5A1370C9">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bookmarkStart w:id="0" w:name="_GoBack"/>
      <w:bookmarkEnd w:id="0"/>
    </w:p>
    <w:p w14:paraId="4D3614D0">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14:paraId="48625513">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14:paraId="739C082E">
      <w:pPr>
        <w:snapToGrid w:val="0"/>
        <w:spacing w:line="440" w:lineRule="exact"/>
        <w:ind w:firstLine="359" w:firstLineChars="171"/>
        <w:rPr>
          <w:color w:val="000000"/>
          <w:szCs w:val="21"/>
        </w:rPr>
      </w:pPr>
      <w:r>
        <w:rPr>
          <w:rFonts w:hint="default" w:ascii="Times New Roman" w:hAnsi="Times New Roman" w:cs="Times New Roman"/>
          <w:color w:val="000000"/>
          <w:szCs w:val="21"/>
        </w:rPr>
        <w:t>GB 17565</w:t>
      </w:r>
      <w:r>
        <w:rPr>
          <w:rFonts w:ascii="Times New Roman" w:hAnsi="Times New Roman" w:cs="Times New Roman"/>
          <w:color w:val="000000"/>
          <w:szCs w:val="21"/>
        </w:rPr>
        <w:t>—</w:t>
      </w:r>
      <w:r>
        <w:rPr>
          <w:rFonts w:hint="default" w:ascii="Times New Roman" w:hAnsi="Times New Roman" w:cs="Times New Roman"/>
          <w:color w:val="000000"/>
          <w:szCs w:val="21"/>
        </w:rPr>
        <w:t xml:space="preserve">2022 </w:t>
      </w:r>
      <w:r>
        <w:rPr>
          <w:rFonts w:hint="eastAsia"/>
          <w:color w:val="000000"/>
          <w:szCs w:val="21"/>
        </w:rPr>
        <w:t>防盗安全门通用技术条件</w:t>
      </w:r>
    </w:p>
    <w:p w14:paraId="6BFEC9B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14:paraId="6BCDBDA6">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14:paraId="1E4CC0CA">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38213636">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1E999988">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792BED5B">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7DC09670">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1EE44428">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1042CFF9">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0923A2C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D38D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FB66B7">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1FB66B7">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661B9E"/>
    <w:multiLevelType w:val="multilevel"/>
    <w:tmpl w:val="45661B9E"/>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xMzU5MDFhMWRhNWY2ZGFlNzAzZTQxZDBhZjMxZWQifQ=="/>
  </w:docVars>
  <w:rsids>
    <w:rsidRoot w:val="00000000"/>
    <w:rsid w:val="009326DE"/>
    <w:rsid w:val="02551A35"/>
    <w:rsid w:val="036455F8"/>
    <w:rsid w:val="06E03F13"/>
    <w:rsid w:val="070E6657"/>
    <w:rsid w:val="0C184A40"/>
    <w:rsid w:val="0CD143AE"/>
    <w:rsid w:val="0D343503"/>
    <w:rsid w:val="13144FF5"/>
    <w:rsid w:val="149E7B87"/>
    <w:rsid w:val="156C55BC"/>
    <w:rsid w:val="1E7B23CC"/>
    <w:rsid w:val="222A1341"/>
    <w:rsid w:val="29B570DA"/>
    <w:rsid w:val="2B4863B8"/>
    <w:rsid w:val="2B830B12"/>
    <w:rsid w:val="2E5977D4"/>
    <w:rsid w:val="2E8C4181"/>
    <w:rsid w:val="2ED81174"/>
    <w:rsid w:val="38A81BB8"/>
    <w:rsid w:val="4055443A"/>
    <w:rsid w:val="408E5B37"/>
    <w:rsid w:val="42C54070"/>
    <w:rsid w:val="43081BD1"/>
    <w:rsid w:val="439E0D9F"/>
    <w:rsid w:val="46050649"/>
    <w:rsid w:val="46F26E20"/>
    <w:rsid w:val="470C0994"/>
    <w:rsid w:val="48797678"/>
    <w:rsid w:val="4C6D02BD"/>
    <w:rsid w:val="4E227B86"/>
    <w:rsid w:val="4E3A2F69"/>
    <w:rsid w:val="512B221D"/>
    <w:rsid w:val="523C53F3"/>
    <w:rsid w:val="534D3EB1"/>
    <w:rsid w:val="56973C8D"/>
    <w:rsid w:val="58705DF6"/>
    <w:rsid w:val="592E4311"/>
    <w:rsid w:val="649B4036"/>
    <w:rsid w:val="68932257"/>
    <w:rsid w:val="699F1D50"/>
    <w:rsid w:val="6E79418D"/>
    <w:rsid w:val="6FD607DD"/>
    <w:rsid w:val="6FF46EB5"/>
    <w:rsid w:val="71BA4C42"/>
    <w:rsid w:val="737C0D9D"/>
    <w:rsid w:val="73C038EC"/>
    <w:rsid w:val="74422159"/>
    <w:rsid w:val="77062301"/>
    <w:rsid w:val="772C0AD6"/>
    <w:rsid w:val="7947444E"/>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815</Words>
  <Characters>1149</Characters>
  <Lines>0</Lines>
  <Paragraphs>0</Paragraphs>
  <TotalTime>31</TotalTime>
  <ScaleCrop>false</ScaleCrop>
  <LinksUpToDate>false</LinksUpToDate>
  <CharactersWithSpaces>1192</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2026-07-09T05:42:59Z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D7D42C8A574C4DEBBA202B58EBA3B5FB_13</vt:lpwstr>
  </property>
  <property fmtid="{D5CDD505-2E9C-101B-9397-08002B2CF9AE}" pid="4" name="KSOTemplateDocerSaveRecord">
    <vt:lpwstr>eyJoZGlkIjoiYjU4YTEyOWI0YTA1NzExMDUyM2E4NzRjZjM1MmQ2OWEiLCJ1c2VySWQiOiIxMTI2NTcyODI0In0=</vt:lpwstr>
  </property>
</Properties>
</file>